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54E5" w14:textId="5E9DE862" w:rsidR="00D64BC6" w:rsidRPr="007F7C5B" w:rsidRDefault="00D64BC6" w:rsidP="00D64BC6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</w:t>
      </w:r>
      <w:r w:rsidR="009D433D">
        <w:rPr>
          <w:sz w:val="24"/>
          <w:szCs w:val="24"/>
        </w:rPr>
        <w:t>2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14:paraId="46F1C7C2" w14:textId="77777777" w:rsidR="007F7C5B" w:rsidRPr="007F7C5B" w:rsidRDefault="007F7C5B" w:rsidP="00D64BC6">
      <w:pPr>
        <w:rPr>
          <w:sz w:val="24"/>
          <w:szCs w:val="24"/>
        </w:rPr>
      </w:pPr>
    </w:p>
    <w:p w14:paraId="44892CE7" w14:textId="04104730"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14:paraId="5D8C6213" w14:textId="77777777" w:rsidR="001C5C0B" w:rsidRPr="007F7C5B" w:rsidRDefault="001C5C0B" w:rsidP="001C5C0B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6D9B49AB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</w:p>
    <w:p w14:paraId="79660BFF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5AE71E9C" w14:textId="4A867710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6F8E32F1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3D453373" w14:textId="77777777"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14:paraId="28A8480B" w14:textId="258ADCDA" w:rsidR="00D64BC6" w:rsidRPr="00FA640D" w:rsidRDefault="006465D9" w:rsidP="001C5C0B">
      <w:pPr>
        <w:pStyle w:val="Akapitzlist"/>
        <w:jc w:val="both"/>
        <w:rPr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FA640D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wspierającego zabezpieczenie przed COVID-19 – butle tlenowe i zestawy do tlenoterapii.</w:t>
      </w:r>
    </w:p>
    <w:bookmarkEnd w:id="0"/>
    <w:p w14:paraId="70E663AB" w14:textId="77777777" w:rsidR="00430D9D" w:rsidRPr="00FA640D" w:rsidRDefault="00430D9D" w:rsidP="001C5C0B">
      <w:pPr>
        <w:pStyle w:val="Akapitzlist"/>
        <w:jc w:val="both"/>
        <w:rPr>
          <w:sz w:val="24"/>
          <w:szCs w:val="24"/>
        </w:rPr>
      </w:pPr>
    </w:p>
    <w:p w14:paraId="091FB9CB" w14:textId="77777777"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14:paraId="721E8D43" w14:textId="77777777"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14:paraId="191E4B0A" w14:textId="77777777"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B81809" w:rsidRPr="00B81809" w14:paraId="602FE37B" w14:textId="77777777" w:rsidTr="000B387F">
        <w:trPr>
          <w:trHeight w:val="285"/>
        </w:trPr>
        <w:tc>
          <w:tcPr>
            <w:tcW w:w="1801" w:type="dxa"/>
            <w:shd w:val="clear" w:color="000000" w:fill="FFFFFF"/>
          </w:tcPr>
          <w:p w14:paraId="4AB70774" w14:textId="77777777" w:rsidR="00B81809" w:rsidRDefault="00430D9D" w:rsidP="00430D9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24111140-8</w:t>
            </w:r>
          </w:p>
          <w:p w14:paraId="3A317050" w14:textId="4A78D2D3" w:rsidR="00430D9D" w:rsidRPr="00B81809" w:rsidRDefault="00430D9D" w:rsidP="00430D9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33157810-6</w:t>
            </w:r>
          </w:p>
        </w:tc>
        <w:tc>
          <w:tcPr>
            <w:tcW w:w="4961" w:type="dxa"/>
            <w:shd w:val="clear" w:color="000000" w:fill="FFFFFF"/>
          </w:tcPr>
          <w:p w14:paraId="6FB319C9" w14:textId="77777777" w:rsidR="00B81809" w:rsidRDefault="00430D9D" w:rsidP="00430D9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Tlen medyczny w butlach</w:t>
            </w:r>
          </w:p>
          <w:p w14:paraId="598F708D" w14:textId="77777777" w:rsidR="00430D9D" w:rsidRDefault="00430D9D" w:rsidP="00430D9D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Urządzenia do terapii tlenowej</w:t>
            </w:r>
          </w:p>
          <w:p w14:paraId="15AE70F3" w14:textId="0426A4DD" w:rsidR="00430D9D" w:rsidRPr="00B81809" w:rsidRDefault="00430D9D" w:rsidP="00430D9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078AB3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6E60E32B" w14:textId="77777777"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15F7E947" w14:textId="77777777"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14:paraId="62BCF79F" w14:textId="77777777" w:rsidR="001C5C0B" w:rsidRDefault="001C5C0B" w:rsidP="001C5C0B">
      <w:pPr>
        <w:pStyle w:val="Akapitzlist"/>
        <w:jc w:val="both"/>
        <w:rPr>
          <w:sz w:val="24"/>
          <w:szCs w:val="24"/>
        </w:rPr>
      </w:pPr>
    </w:p>
    <w:p w14:paraId="06747CC3" w14:textId="77777777" w:rsidR="00B81809" w:rsidRDefault="00B81809" w:rsidP="001C5C0B">
      <w:pPr>
        <w:pStyle w:val="Akapitzlist"/>
        <w:jc w:val="both"/>
        <w:rPr>
          <w:sz w:val="24"/>
          <w:szCs w:val="24"/>
        </w:rPr>
      </w:pPr>
    </w:p>
    <w:p w14:paraId="3DE2EAD4" w14:textId="77777777"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14:paraId="4557A460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4E49DD27" w14:textId="77777777"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02B5F8B0" w14:textId="77777777"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B81809" w:rsidRPr="00BB1826" w14:paraId="1B95B031" w14:textId="77777777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14:paraId="3066B513" w14:textId="77777777" w:rsidR="002F6912" w:rsidRPr="002F6912" w:rsidRDefault="002F6912" w:rsidP="002F691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bookmarkStart w:id="2" w:name="_Hlk53470554"/>
            <w:r w:rsidRPr="002F6912">
              <w:rPr>
                <w:rFonts w:cs="Calibri"/>
                <w:b/>
                <w:bCs/>
                <w:color w:val="000000"/>
              </w:rPr>
              <w:t xml:space="preserve">Zestaw do tlenoterapii, w skład którego wchodzi: butla 2,7 - 3 litrowa stalowa, na tlen medyczny; reduktor tlenowy ze skokową regulacją przepływu, z szybkozłączem typu AGA, z funkcją regulacji tlenu 0-25 l/min i przyłączem DIN G 3/4 cala z możliwością pracy w pionie;  Zestaw rurek ustno-gardłowych </w:t>
            </w:r>
            <w:proofErr w:type="spellStart"/>
            <w:r w:rsidRPr="002F6912">
              <w:rPr>
                <w:rFonts w:cs="Calibri"/>
                <w:b/>
                <w:bCs/>
                <w:color w:val="000000"/>
              </w:rPr>
              <w:t>Guedela</w:t>
            </w:r>
            <w:proofErr w:type="spellEnd"/>
            <w:r w:rsidRPr="002F6912">
              <w:rPr>
                <w:rFonts w:cs="Calibri"/>
                <w:b/>
                <w:bCs/>
                <w:color w:val="000000"/>
              </w:rPr>
              <w:t xml:space="preserve">, (rozmiary 0-5) – 6 sztuk; 5 </w:t>
            </w:r>
            <w:proofErr w:type="spellStart"/>
            <w:r w:rsidRPr="002F6912">
              <w:rPr>
                <w:rFonts w:cs="Calibri"/>
                <w:b/>
                <w:bCs/>
                <w:color w:val="000000"/>
              </w:rPr>
              <w:t>szt</w:t>
            </w:r>
            <w:proofErr w:type="spellEnd"/>
            <w:r w:rsidRPr="002F6912">
              <w:rPr>
                <w:rFonts w:cs="Calibri"/>
                <w:b/>
                <w:bCs/>
                <w:color w:val="000000"/>
              </w:rPr>
              <w:t xml:space="preserve"> masek tlenowych z rezerwuarem wysokiej koncentracji tlenu (96%) oraz przewodem tlenowym o długości 2.1m, koce przeciwwstrząsowe min 2 szt.; resuscytator umożliwiający wentylację bierną i czynną 100% tlenem ze złączką i rezerwuarem tlenu 2500ml; Jałowy filtry antybakteryjne HME</w:t>
            </w:r>
          </w:p>
          <w:p w14:paraId="46FE48D6" w14:textId="6F3D6A73" w:rsidR="00B81809" w:rsidRDefault="002F6912" w:rsidP="002F6912">
            <w:r w:rsidRPr="002F6912">
              <w:rPr>
                <w:rFonts w:cs="Calibri"/>
                <w:b/>
                <w:bCs/>
                <w:color w:val="000000"/>
              </w:rPr>
              <w:t xml:space="preserve">Zestaw w torbie z materiału typu CORDURA, wykonanej zgodnie z zaleceniami ratownictwa medycznego; wygodne szelki pozwalające nosić torbę na ramieniu lub jak plecak; rączka spinana na rzep do trzymania w ręce; 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243D135C" w14:textId="5A426918" w:rsidR="00B81809" w:rsidRDefault="00430D9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561C6D30" w14:textId="1F78683E" w:rsidR="00B81809" w:rsidRDefault="00430D9D" w:rsidP="00F440AE">
            <w:r>
              <w:t>2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B81809" w:rsidRPr="00BB1826" w14:paraId="4CDDC155" w14:textId="77777777" w:rsidTr="00CE6077">
        <w:trPr>
          <w:trHeight w:val="855"/>
        </w:trPr>
        <w:tc>
          <w:tcPr>
            <w:tcW w:w="3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2"/>
          <w:p w14:paraId="71F591EF" w14:textId="77777777" w:rsidR="002F6912" w:rsidRPr="002F6912" w:rsidRDefault="002F6912" w:rsidP="002F691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F6912">
              <w:rPr>
                <w:rFonts w:cs="Calibri"/>
                <w:b/>
                <w:bCs/>
                <w:color w:val="000000"/>
              </w:rPr>
              <w:t>Reduktor do butli z tlenem, norm EN 1964-1, przeznaczony do celów medycznych, do pracy w zestawie z butlą wysokociśnieniową, wyposażoną w zawór zamykający. Reduktor może obsługiwać takie gazy jak: tlen, podtlenek azotu, sprężone powietrze, dwutlenek węgla, azot do napędu urządzeń chirurgicznych, do reduktora można przyłączyć poprzez gniazdo AGA lub DIN;  dozownik tlenu, respirator lub przewód sieci tlenowej karetki</w:t>
            </w:r>
          </w:p>
          <w:p w14:paraId="74EC7D59" w14:textId="77777777" w:rsidR="002F6912" w:rsidRPr="002F6912" w:rsidRDefault="002F6912" w:rsidP="002F691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F6912">
              <w:rPr>
                <w:rFonts w:cs="Calibri"/>
                <w:b/>
                <w:bCs/>
                <w:color w:val="000000"/>
              </w:rPr>
              <w:t>• Ciśnienie wejściowe:P1= 200 bar.</w:t>
            </w:r>
          </w:p>
          <w:p w14:paraId="2F91C588" w14:textId="77777777" w:rsidR="002F6912" w:rsidRPr="002F6912" w:rsidRDefault="002F6912" w:rsidP="002F691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F6912">
              <w:rPr>
                <w:rFonts w:cs="Calibri"/>
                <w:b/>
                <w:bCs/>
                <w:color w:val="000000"/>
              </w:rPr>
              <w:t>• Ciśnienie wyjściowe: P4&lt;5.5 bar.</w:t>
            </w:r>
          </w:p>
          <w:p w14:paraId="589514E7" w14:textId="0653B22D" w:rsidR="00B81809" w:rsidRPr="002F6912" w:rsidRDefault="002F6912" w:rsidP="002F691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2F6912">
              <w:rPr>
                <w:rFonts w:cs="Calibri"/>
                <w:b/>
                <w:bCs/>
                <w:color w:val="000000"/>
              </w:rPr>
              <w:t>• Regulacja przepływu: 0-1-2-3-4-5-6-7-9-12-15-25 l/min.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B83C" w14:textId="30EA9DAF" w:rsidR="00B81809" w:rsidRDefault="00430D9D" w:rsidP="00B81809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B93B" w14:textId="06899CD2" w:rsidR="00B81809" w:rsidRDefault="00430D9D" w:rsidP="00B81809">
            <w:r>
              <w:t>2</w:t>
            </w:r>
          </w:p>
        </w:tc>
      </w:tr>
      <w:tr w:rsidR="00430D9D" w:rsidRPr="00BB1826" w14:paraId="380F69D5" w14:textId="77777777" w:rsidTr="00CE6077">
        <w:trPr>
          <w:trHeight w:val="855"/>
        </w:trPr>
        <w:tc>
          <w:tcPr>
            <w:tcW w:w="3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8B0C" w14:textId="77777777" w:rsidR="002F6912" w:rsidRPr="002F6912" w:rsidRDefault="002F6912" w:rsidP="002F6912">
            <w:pPr>
              <w:rPr>
                <w:b/>
                <w:bCs/>
              </w:rPr>
            </w:pPr>
            <w:r w:rsidRPr="002F6912">
              <w:rPr>
                <w:b/>
                <w:bCs/>
              </w:rPr>
              <w:t>Butla z tlenem medycznym, stalowa o pojemności 10 litrów ; ciśnienie robocze PW: 200 bar; ciśnienie próbne PH: 300 bar, wyposażona w zawór 3/4", z reduktorem z szybkozłączem AGA (do karetek), Waga pustej butli: około 11 kg, Butla jest napełniona tlenem medycznym: 1,6 m3, Posiadający atest oraz ważną legalizację, Temperatura pracy -40/+60°C</w:t>
            </w:r>
          </w:p>
          <w:p w14:paraId="20B2E6B5" w14:textId="081B2401" w:rsidR="00430D9D" w:rsidRPr="00430D9D" w:rsidRDefault="002F6912" w:rsidP="002F6912">
            <w:pPr>
              <w:rPr>
                <w:b/>
                <w:bCs/>
              </w:rPr>
            </w:pPr>
            <w:r w:rsidRPr="002F6912">
              <w:rPr>
                <w:b/>
                <w:bCs/>
              </w:rPr>
              <w:t>Gabaryty ok : średnica 13,5 cm, wysokość 90 cm, minimalna grubość ścianki: 3,10 mm;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729E" w14:textId="13E5A863" w:rsidR="00430D9D" w:rsidRDefault="00430D9D" w:rsidP="00B81809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C81A" w14:textId="6C7988F9" w:rsidR="00430D9D" w:rsidRDefault="00430D9D" w:rsidP="00B81809">
            <w:r>
              <w:t>3</w:t>
            </w:r>
          </w:p>
        </w:tc>
      </w:tr>
    </w:tbl>
    <w:p w14:paraId="51B01BBD" w14:textId="4AE617C1" w:rsidR="009756B6" w:rsidRDefault="002F6912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756B6">
        <w:rPr>
          <w:sz w:val="24"/>
          <w:szCs w:val="24"/>
        </w:rPr>
        <w:t xml:space="preserve">Produkt winien być nowy wyprodukowany w 2020 roku, zapakowany przez producenta, posiadać co najmniej 24 miesięczną 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14:paraId="6C24F700" w14:textId="52E54828" w:rsidR="00E07FEC" w:rsidRPr="009756B6" w:rsidRDefault="009756B6" w:rsidP="009756B6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633B56">
        <w:rPr>
          <w:b/>
          <w:sz w:val="24"/>
          <w:szCs w:val="24"/>
          <w:u w:val="single"/>
        </w:rPr>
        <w:t>20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14:paraId="6124B6EE" w14:textId="77777777" w:rsidR="008D0554" w:rsidRPr="007F7C5B" w:rsidRDefault="008D0554" w:rsidP="00744049">
      <w:pPr>
        <w:pStyle w:val="Akapitzlist"/>
        <w:jc w:val="both"/>
        <w:rPr>
          <w:b/>
          <w:sz w:val="24"/>
          <w:szCs w:val="24"/>
        </w:rPr>
      </w:pPr>
    </w:p>
    <w:p w14:paraId="588AB315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5C0518AD" w14:textId="77777777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14:paraId="4A907BD7" w14:textId="77777777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23EBBC87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5AC3D38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14:paraId="5BB54D55" w14:textId="6D826FF4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5564945D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E9C8F80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2739E191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14:paraId="728F36C3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7B34D4CB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14:paraId="34D456A0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510BFABC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14:paraId="539EEA7E" w14:textId="77777777"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296C8B4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3D9E6E91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02048DF7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03C6F5AE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2CBC97E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5EFD907F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409D4FC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6E096D1C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7AABCEBE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>określone w tych załącznikach. W przeciwnym wypadku oferta Wykonawcy będzie podlegała odrzuceniu.</w:t>
      </w:r>
    </w:p>
    <w:p w14:paraId="2C274DB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DDB866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26F82D79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14:paraId="19F53DB9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704D8F9C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6A8B56B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7E8AC53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2CBC5F7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51A73092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15FF30CD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79FFE13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686F01E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 xml:space="preserve">wiającego </w:t>
      </w:r>
      <w:r w:rsidR="00C50E5F" w:rsidRPr="007F7C5B">
        <w:rPr>
          <w:rFonts w:asciiTheme="minorHAnsi" w:hAnsiTheme="minorHAnsi" w:cstheme="minorHAnsi"/>
          <w:sz w:val="24"/>
          <w:szCs w:val="24"/>
        </w:rPr>
        <w:lastRenderedPageBreak/>
        <w:t>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05A89A04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0294D8B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3B9088EA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176AF619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546C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DCB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DF5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64C8FF76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B9A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0EF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32C1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0DFD3A8C" w14:textId="77777777"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14:paraId="46BBB6D2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2A616557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75798648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52216387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65F4171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14:paraId="6027DB5F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7417C6EA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4F37056E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0CD821B5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5A91E0F0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296F3C44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2B67D7D1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49CF41F8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2F22A727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5F7357C3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66FAB073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3A501919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2DDFAE72" w14:textId="535D02E3"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633B56">
        <w:rPr>
          <w:rFonts w:cstheme="minorHAnsi"/>
          <w:color w:val="000000"/>
          <w:sz w:val="24"/>
          <w:szCs w:val="24"/>
        </w:rPr>
        <w:t>21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14:paraId="7934277F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60DC3C67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7C0632A0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14D123F5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5D1CFC" w14:textId="49E0424D"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B81809">
        <w:rPr>
          <w:rFonts w:asciiTheme="minorHAnsi" w:hAnsiTheme="minorHAnsi" w:cstheme="minorHAnsi"/>
          <w:b/>
          <w:sz w:val="24"/>
          <w:szCs w:val="24"/>
        </w:rPr>
        <w:t>1</w:t>
      </w:r>
      <w:r w:rsidR="00633B56">
        <w:rPr>
          <w:rFonts w:asciiTheme="minorHAnsi" w:hAnsiTheme="minorHAnsi" w:cstheme="minorHAnsi"/>
          <w:b/>
          <w:sz w:val="24"/>
          <w:szCs w:val="24"/>
        </w:rPr>
        <w:t xml:space="preserve">4 </w:t>
      </w:r>
      <w:r w:rsidR="00E622BC">
        <w:rPr>
          <w:rFonts w:asciiTheme="minorHAnsi" w:hAnsiTheme="minorHAnsi" w:cstheme="minorHAnsi"/>
          <w:b/>
          <w:sz w:val="24"/>
          <w:szCs w:val="24"/>
        </w:rPr>
        <w:t>września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633B56">
        <w:rPr>
          <w:rFonts w:asciiTheme="minorHAnsi" w:hAnsiTheme="minorHAnsi" w:cstheme="minorHAnsi"/>
          <w:b/>
          <w:sz w:val="24"/>
          <w:szCs w:val="24"/>
        </w:rPr>
        <w:t>9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14:paraId="2D2DC51E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14:paraId="4FEFD402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3EA52ED6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6202A6F9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ZAMAWIAJĄCY ZASTRZEGA SOBIE REZYGNACJĘ Z UDZIELENIA ZAMÓWIENIA W PRZYPADKU NIE OTRZYMANIA ŚRODKÓW W RAMACH PROJEKTU.</w:t>
      </w:r>
    </w:p>
    <w:p w14:paraId="1ACC997E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362933FE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65BC5A1C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CA38E" w14:textId="77777777" w:rsidR="00D92899" w:rsidRDefault="00D92899" w:rsidP="003C23EB">
      <w:pPr>
        <w:spacing w:after="0" w:line="240" w:lineRule="auto"/>
      </w:pPr>
      <w:r>
        <w:separator/>
      </w:r>
    </w:p>
  </w:endnote>
  <w:endnote w:type="continuationSeparator" w:id="0">
    <w:p w14:paraId="34CF967A" w14:textId="77777777" w:rsidR="00D92899" w:rsidRDefault="00D92899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CAC7" w14:textId="601CA9C0"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14:paraId="743D1373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3D09" w14:textId="77777777" w:rsidR="00D92899" w:rsidRDefault="00D92899" w:rsidP="003C23EB">
      <w:pPr>
        <w:spacing w:after="0" w:line="240" w:lineRule="auto"/>
      </w:pPr>
      <w:r>
        <w:separator/>
      </w:r>
    </w:p>
  </w:footnote>
  <w:footnote w:type="continuationSeparator" w:id="0">
    <w:p w14:paraId="1FE36BA7" w14:textId="77777777" w:rsidR="00D92899" w:rsidRDefault="00D92899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14:paraId="5012FB26" w14:textId="77777777" w:rsidTr="00522355">
      <w:tc>
        <w:tcPr>
          <w:tcW w:w="972" w:type="pct"/>
          <w:hideMark/>
        </w:tcPr>
        <w:p w14:paraId="0E83E233" w14:textId="77777777"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45547688" wp14:editId="545423CF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74896543" w14:textId="77777777"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3AEEA553" wp14:editId="704934EB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55FEB805" w14:textId="77777777"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43801E6C" wp14:editId="251BE33D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27E67B3F" w14:textId="77777777"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39E95202" wp14:editId="46FBEF11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39C3CA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7"/>
    <w:rsid w:val="0004083D"/>
    <w:rsid w:val="0004165C"/>
    <w:rsid w:val="00050943"/>
    <w:rsid w:val="000E2BA5"/>
    <w:rsid w:val="000E4F0F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7621C"/>
    <w:rsid w:val="002774E2"/>
    <w:rsid w:val="00277D8B"/>
    <w:rsid w:val="002F6912"/>
    <w:rsid w:val="00350A87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30D9D"/>
    <w:rsid w:val="00465C7C"/>
    <w:rsid w:val="00475493"/>
    <w:rsid w:val="0048508B"/>
    <w:rsid w:val="00486025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33B56"/>
    <w:rsid w:val="006465D9"/>
    <w:rsid w:val="00654820"/>
    <w:rsid w:val="00690113"/>
    <w:rsid w:val="006A30B4"/>
    <w:rsid w:val="006A30D9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A4874"/>
    <w:rsid w:val="009B4603"/>
    <w:rsid w:val="009D433D"/>
    <w:rsid w:val="009E6BFF"/>
    <w:rsid w:val="00A30744"/>
    <w:rsid w:val="00A566EA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8180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35E8"/>
  <w15:docId w15:val="{5CB1F689-B473-499F-BFCE-6994BB0F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37454-E4E1-48F6-93E0-FBFF5D35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1595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7</cp:revision>
  <cp:lastPrinted>2020-09-15T08:23:00Z</cp:lastPrinted>
  <dcterms:created xsi:type="dcterms:W3CDTF">2020-10-12T21:56:00Z</dcterms:created>
  <dcterms:modified xsi:type="dcterms:W3CDTF">2020-10-13T06:38:00Z</dcterms:modified>
</cp:coreProperties>
</file>